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20" w:lineRule="exact"/>
        <w:jc w:val="both"/>
        <w:rPr>
          <w:rFonts w:asciiTheme="majorEastAsia" w:hAnsiTheme="majorEastAsia" w:eastAsiaTheme="majorEastAsia"/>
          <w:snapToGrid w:val="0"/>
          <w:sz w:val="32"/>
          <w:szCs w:val="32"/>
          <w:lang w:val="en-US" w:eastAsia="zh-CN"/>
        </w:rPr>
      </w:pPr>
      <w:r>
        <w:rPr>
          <w:rFonts w:asciiTheme="majorEastAsia" w:hAnsiTheme="majorEastAsia" w:eastAsiaTheme="majorEastAsia"/>
          <w:snapToGrid w:val="0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adjustRightInd w:val="0"/>
        <w:snapToGrid w:val="0"/>
        <w:spacing w:after="0" w:line="520" w:lineRule="exact"/>
        <w:jc w:val="both"/>
        <w:rPr>
          <w:rFonts w:asciiTheme="majorEastAsia" w:hAnsiTheme="majorEastAsia" w:eastAsiaTheme="majorEastAsia"/>
          <w:snapToGrid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="0" w:line="520" w:lineRule="exact"/>
        <w:jc w:val="center"/>
        <w:outlineLvl w:val="0"/>
        <w:rPr>
          <w:rFonts w:ascii="方正小标宋简体" w:hAnsi="黑体" w:eastAsia="方正小标宋简体"/>
          <w:snapToGrid w:val="0"/>
          <w:sz w:val="44"/>
          <w:szCs w:val="44"/>
          <w:lang w:val="en-US" w:eastAsia="zh-CN"/>
        </w:rPr>
      </w:pPr>
      <w:r>
        <w:rPr>
          <w:rFonts w:ascii="方正小标宋简体" w:hAnsi="黑体" w:eastAsia="方正小标宋简体"/>
          <w:snapToGrid w:val="0"/>
          <w:sz w:val="44"/>
          <w:szCs w:val="44"/>
          <w:lang w:val="en-US" w:eastAsia="zh-CN"/>
        </w:rPr>
        <w:t>2023城市国土空间监测资料收集清单</w:t>
      </w:r>
      <w:bookmarkStart w:id="0" w:name="_Hlk139466666"/>
    </w:p>
    <w:p>
      <w:pPr>
        <w:adjustRightInd w:val="0"/>
        <w:snapToGrid w:val="0"/>
        <w:spacing w:after="0" w:line="520" w:lineRule="exact"/>
        <w:jc w:val="center"/>
        <w:outlineLvl w:val="0"/>
        <w:rPr>
          <w:rFonts w:ascii="方正小标宋简体" w:hAnsi="黑体" w:eastAsia="方正小标宋简体"/>
          <w:snapToGrid w:val="0"/>
          <w:sz w:val="44"/>
          <w:szCs w:val="44"/>
          <w:lang w:val="en-US" w:eastAsia="zh-CN"/>
        </w:rPr>
      </w:pPr>
    </w:p>
    <w:bookmarkEnd w:id="0"/>
    <w:tbl>
      <w:tblPr>
        <w:tblStyle w:val="3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61"/>
        <w:gridCol w:w="4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tblHeader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center"/>
              <w:rPr>
                <w:rFonts w:cs="宋体" w:asciiTheme="minorEastAsia" w:hAnsiTheme="minorEastAsia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napToGrid w:val="0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center"/>
              <w:rPr>
                <w:rFonts w:cs="宋体" w:asciiTheme="minorEastAsia" w:hAnsiTheme="minorEastAsia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napToGrid w:val="0"/>
                <w:color w:val="000000"/>
                <w:sz w:val="24"/>
                <w:szCs w:val="24"/>
              </w:rPr>
              <w:t>资料内容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center"/>
              <w:rPr>
                <w:rFonts w:cs="宋体" w:asciiTheme="minorEastAsia" w:hAnsiTheme="minorEastAsia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napToGrid w:val="0"/>
                <w:color w:val="000000"/>
                <w:sz w:val="24"/>
                <w:szCs w:val="24"/>
              </w:rPr>
              <w:t>资料要求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自然资源部门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商品住房、保障性住房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收集商品住房、保障性住房所占的建设用地；保障性住房一般由廉租住房、经济适用住房、政策性租赁住房、定向安置房、及其他存在特殊情况、属于保障性住房的房屋等。区分是否为保障性租赁住房用地；包含建筑高度、占地面积、建筑总面积、房间套（间）数、商品住房建筑面积、商品住房房屋套（间）数、保障性住房建筑面积、保障性住房房屋套（间）数、商品住房出售套数、保障性住房入住户数、建筑层数（地上）等属性；</w:t>
            </w:r>
          </w:p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资料全面完整，应包含范围及相关属性等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公共图书馆、展览馆、博物馆、科技馆、美术馆、纪念馆、档案馆、其他文化艺术场馆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</w:rPr>
              <w:t>社区文化活动设施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社区文化活动设施需区分文化活动中心（街道）、文化活动站（社区）等；</w:t>
            </w:r>
          </w:p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</w:rPr>
              <w:t>养老设施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养老设施需区分机构养老服务设施和社区养老服务设施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其中机构养老服务设施需区分敬老院/养老院/福利院等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社区养老服务设施需区分社区综合养老服务中心/社区长者照护之家/社区老年人日间照料中心/社区老年人助餐点/社区睦邻点等；说明养老设施的床位数；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2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  <w:lang w:eastAsia="zh-CN"/>
              </w:rPr>
              <w:t>儿童社会福利设施、残疾人福利设施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2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20" w:lineRule="exact"/>
              <w:textAlignment w:val="center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2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体育场馆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20" w:lineRule="exact"/>
              <w:textAlignment w:val="center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体育场馆需区分是否为（或包含）足球场地设施，并说明是室内还是室外场地；</w:t>
            </w:r>
          </w:p>
          <w:p>
            <w:pPr>
              <w:adjustRightInd w:val="0"/>
              <w:snapToGrid w:val="0"/>
              <w:spacing w:after="0" w:line="420" w:lineRule="exact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2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20" w:lineRule="exact"/>
              <w:jc w:val="both"/>
              <w:rPr>
                <w:rFonts w:ascii="仿宋_GB2312" w:eastAsia="仿宋_GB2312" w:cs="宋体" w:hAnsiTheme="minorEastAsia"/>
                <w:snapToGrid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消防站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20" w:lineRule="exact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消防站需区分</w:t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普通消防站</w:t>
            </w: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特勤消防站</w:t>
            </w: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战勤消防站</w:t>
            </w: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微型消防站；</w:t>
            </w:r>
          </w:p>
          <w:p>
            <w:pPr>
              <w:adjustRightInd w:val="0"/>
              <w:snapToGrid w:val="0"/>
              <w:spacing w:after="0" w:line="420" w:lineRule="exact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2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both"/>
              <w:rPr>
                <w:rFonts w:ascii="仿宋_GB2312" w:eastAsia="仿宋_GB2312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广场、公园、绿地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textAlignment w:val="center"/>
              <w:rPr>
                <w:rFonts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both"/>
              <w:rPr>
                <w:rFonts w:ascii="仿宋_GB2312" w:eastAsia="仿宋_GB2312" w:cs="宋体" w:hAnsiTheme="minorEastAsia"/>
                <w:snapToGrid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</w:rPr>
              <w:t>殡葬用地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殡葬用地需区分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殡仪馆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火葬场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骨灰堂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公墓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殡仪服务站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陵园景区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8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单体房屋建筑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单体房屋建筑应包含建筑高度、占地面积、建筑总面积、房间套（间）数、商品住房建筑面积、商品住房房屋套（间）数、保障性住房建筑面积、保障性住房房屋套（间）数、商品住房出售套数、保障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  <w:t>性住房入住户数、建筑层数（地上）等属性；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资料全面完整，应包含范围及相关属性等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室外滑雪场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(含附属设施)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室外滑雪场应包含滑雪场名称、滑雪场经营单位名称、滑雪场坐落位置、滑雪道数量情况、滑雪场营业情况、滑雪场面积等属性；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新增城市更新改造用地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年、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年已完成竣工验收的城市更新改造的用地，包括棚户区改造、三旧改造等，不包括微更新、建筑维护改造、环境整治等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资料全面完整，包含名称、位置、范围、类型等</w:t>
            </w:r>
          </w:p>
          <w:p>
            <w:pPr>
              <w:adjustRightInd w:val="0"/>
              <w:snapToGrid w:val="0"/>
              <w:spacing w:after="0" w:line="4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住建部门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商品住房、保障性住房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收集商品住房、保障性住房所占的建设用地；保障性住房一般由廉租住房、经济适用住房、政策性租赁住房、定向安置房、及其他存在特殊情况、属于保障性住房的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  <w:t>房屋等；区分是否为保障性租赁住房用地；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资料全面完整，应包含范围及相关属性等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广场、公园、绿地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textAlignment w:val="center"/>
              <w:rPr>
                <w:rFonts w:ascii="仿宋_GB2312" w:eastAsia="仿宋_GB2312" w:cs="宋体" w:hAnsiTheme="minorEastAsia"/>
                <w:snapToGrid w:val="0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8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5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公共停车场（地面）、停车楼（地上）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8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单体房屋建筑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单体房屋建筑应包含建筑高度、占地面积、建筑总面积、房间套（间）数、商品住房建筑面积、商品住房房屋套（间）数、保障性住房建筑面积、保障性住房房屋套（间）数、商品住房出售套数、保障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  <w:t>性住房入住户数、建筑层数（地上）等属性；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资料全面完整，应包含范围及相关属性等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应急避难场所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textAlignment w:val="center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资料全面完整，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包含名称、位置、范围等</w:t>
            </w:r>
          </w:p>
          <w:p>
            <w:pPr>
              <w:adjustRightInd w:val="0"/>
              <w:snapToGrid w:val="0"/>
              <w:spacing w:after="0" w:line="56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新增城市更新改造用地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年、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年已完成竣工验收的城市更新改造的用地，包括棚户区改造、三旧改造等，不包括微更新、建筑维护改造、环境整治等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资料全面完整，包含名称、位置、范围、类型等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</w:rPr>
              <w:t>文旅部门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公共图书馆、展览馆、博物馆、科技馆、美术馆、纪念馆、档案馆、其他文化艺术场馆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</w:rPr>
              <w:t>社区文化活动设施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社区文化活动设施需区分文化活动中心（街道）、文化活动站（社区）等；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广场、公园、绿地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80" w:lineRule="exact"/>
              <w:textAlignment w:val="center"/>
              <w:rPr>
                <w:rFonts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58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室外滑雪场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(含附属设施)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室外滑雪场应包含滑雪场名称、滑雪场经营单位名称、滑雪场坐落位置、滑雪道数量情况、滑雪场营业情况、滑雪场面积等属性；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</w:rPr>
              <w:t>档案管理部门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档案馆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宋体" w:hAnsiTheme="minorEastAsia"/>
                <w:snapToGrid w:val="0"/>
                <w:sz w:val="24"/>
                <w:szCs w:val="24"/>
              </w:rPr>
              <w:t>教育部门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高等院校、中等职业学校、中小学、幼儿园、特殊教育学校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高等院校需区分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普通高等学校本科院校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普通高等学校高职（专科）院校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成人高等学校等；并说明是否为职业教育院校；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中小学需区分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小学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初级中学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高级中学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/9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年一贯制学校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/12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年一贯制学校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完全中学等；</w:t>
            </w:r>
            <w:r>
              <w:rPr>
                <w:rFonts w:hint="eastAsia" w:ascii="仿宋_GB2312" w:eastAsia="仿宋_GB2312" w:cs="宋体" w:hAnsiTheme="minorEastAsia"/>
                <w:snapToGrid w:val="0"/>
                <w:sz w:val="24"/>
                <w:szCs w:val="24"/>
                <w:lang w:eastAsia="zh-CN"/>
              </w:rPr>
              <w:t>说明学校班级数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幼儿园需说明学校班级数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特殊教育学校需区分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盲人学校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聋人学校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培智学校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其他特殊教育学校等；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卫健部门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医院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方舱医院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医院需区分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综合医院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专科医院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中医医院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中西医结合医院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民族医医院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康复医院；说明医院等级、是否为县（区）级以上医院、是否为传染病医院；医院、方舱医院包含的医疗机构床位数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cs="宋体" w:asciiTheme="minorEastAsia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社区卫生服务设施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社区卫生服务设施需区分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社区卫生服务中心、社区卫生服务站、中心卫生院、乡（镇）卫生院、街道卫生院等；包含的医疗机构床位数；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垃圾集中处理设施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napToGrid w:val="0"/>
                <w:sz w:val="24"/>
                <w:szCs w:val="24"/>
                <w:lang w:eastAsia="zh-CN"/>
              </w:rPr>
              <w:t>垃圾集中处理设施需区分生活垃圾收集站</w:t>
            </w:r>
            <w:r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EastAsia"/>
                <w:snapToGrid w:val="0"/>
                <w:sz w:val="24"/>
                <w:szCs w:val="24"/>
                <w:lang w:eastAsia="zh-CN"/>
              </w:rPr>
              <w:t>生活垃圾转运站</w:t>
            </w:r>
            <w:r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EastAsia"/>
                <w:snapToGrid w:val="0"/>
                <w:sz w:val="24"/>
                <w:szCs w:val="24"/>
                <w:lang w:eastAsia="zh-CN"/>
              </w:rPr>
              <w:t>垃圾处理及处置设施等；说明是否为危险废物集中处置设施</w:t>
            </w:r>
            <w:r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EastAsia"/>
                <w:snapToGrid w:val="0"/>
                <w:sz w:val="24"/>
                <w:szCs w:val="24"/>
                <w:lang w:eastAsia="zh-CN"/>
              </w:rPr>
              <w:t>医疗废物集中处置设施；</w:t>
            </w:r>
          </w:p>
          <w:p>
            <w:pPr>
              <w:adjustRightInd w:val="0"/>
              <w:snapToGrid w:val="0"/>
              <w:spacing w:after="0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民政部门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</w:rPr>
              <w:t>养老设施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养老设施需区分机构养老服务设施和社区养老服务设施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其中机构养老服务设施需区分敬老院/养老院/福利院等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社区养老服务设施需区分社区综合养老服务中心/社区长者照护之家/社区老年人日间照料中心/社区老年人助餐点/社区睦邻点等；说明养老设施的床位数；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  <w:lang w:eastAsia="zh-CN"/>
              </w:rPr>
              <w:t>儿童社会福利设施、残疾人福利设施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</w:rPr>
              <w:t>社区文化活动设施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社区文化活动设施需区分文化活动中心（街道）、文化活动站（社区）等；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color w:val="000000"/>
                <w:sz w:val="24"/>
                <w:szCs w:val="24"/>
              </w:rPr>
              <w:t>殡葬用地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殡葬用地需区分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殡仪馆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火葬场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骨灰堂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公墓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殡仪服务站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陵园景区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tabs>
                <w:tab w:val="center" w:pos="1363"/>
              </w:tabs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体育部门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体育场馆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体育场馆需区分是否为（或包含）足球场地设施，并说明是室内还是室外场地；</w:t>
            </w:r>
          </w:p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tabs>
                <w:tab w:val="center" w:pos="1363"/>
              </w:tabs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室外滑雪场</w:t>
            </w:r>
            <w:r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(含附属设施)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室外滑雪场应包含滑雪场名称、滑雪场经营单位名称、滑雪场坐落位置、滑雪道数量情况、滑雪场营业情况、滑雪场面积等属性；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应急管理部门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消防站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消防站需区分普通消防站/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特勤消防站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战勤消防站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微型消防站；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Theme="minorEastAsia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城市内涝积水点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资料全面完整，包含名称、位置、范围等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Theme="minorEastAsia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应急避难场所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资料全面完整，包含名称、位置、范围等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城市管理部门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广场、公园、绿地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城市内涝积水点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资料全面完整，包含名称、位置、范围等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水利部门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自来水厂、污水处理厂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水电站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城市内涝积水点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资料全面完整，包含名称、位置、范围等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河流、水渠、湖泊、水库、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河流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水渠应包含名称、类型、等级、长度、宽度等属性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after="0" w:line="38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湖泊应包含名称、容积等属性；</w:t>
            </w:r>
          </w:p>
          <w:p>
            <w:pPr>
              <w:adjustRightInd w:val="0"/>
              <w:snapToGrid w:val="0"/>
              <w:spacing w:after="0" w:line="38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水库应包含名称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用途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、容积等属性；</w:t>
            </w:r>
          </w:p>
          <w:p>
            <w:pPr>
              <w:adjustRightInd w:val="0"/>
              <w:snapToGrid w:val="0"/>
              <w:spacing w:after="0" w:line="38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资料全面完整，应包含位置、范围等</w:t>
            </w:r>
          </w:p>
          <w:p>
            <w:pPr>
              <w:adjustRightInd w:val="0"/>
              <w:snapToGrid w:val="0"/>
              <w:spacing w:after="0" w:line="38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生态环境部门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垃圾集中处理设施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/>
                <w:snapToGrid w:val="0"/>
                <w:sz w:val="24"/>
                <w:szCs w:val="24"/>
                <w:lang w:eastAsia="zh-CN"/>
              </w:rPr>
              <w:t>垃圾集中处理设施需区分生活垃圾收集站</w:t>
            </w:r>
            <w:r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/>
                <w:snapToGrid w:val="0"/>
                <w:sz w:val="24"/>
                <w:szCs w:val="24"/>
                <w:lang w:eastAsia="zh-CN"/>
              </w:rPr>
              <w:t>生活垃圾转运站</w:t>
            </w:r>
            <w:r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/>
                <w:snapToGrid w:val="0"/>
                <w:sz w:val="24"/>
                <w:szCs w:val="24"/>
                <w:lang w:eastAsia="zh-CN"/>
              </w:rPr>
              <w:t>垃圾处理及处置设施等；说明是否为危险废物集中处置设施</w:t>
            </w:r>
            <w:r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/>
                <w:snapToGrid w:val="0"/>
                <w:sz w:val="24"/>
                <w:szCs w:val="24"/>
                <w:lang w:eastAsia="zh-CN"/>
              </w:rPr>
              <w:t>医疗废物集中处置设施；</w:t>
            </w:r>
          </w:p>
          <w:p>
            <w:pPr>
              <w:adjustRightInd w:val="0"/>
              <w:snapToGrid w:val="0"/>
              <w:spacing w:after="0" w:line="38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人防部门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应急避难场所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资料全面完整，包含名称、位置、范围等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消防部门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消防站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消防站需区分普通消防站/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特勤消防站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战勤消防站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微型消防站；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sz w:val="24"/>
                <w:szCs w:val="24"/>
              </w:rPr>
              <w:t>发改委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新增城市更新改造用地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年、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年已完成竣工验收的城市更新改造的用地，包括棚户区改造、三旧改造等，不包括微更新、建筑维护改造、环境整治等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资料全面完整，包含名称、位置、范围、类型等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</w:rPr>
              <w:t>矢量图形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邮政部门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邮政局（所）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资料全面完整</w:t>
            </w:r>
          </w:p>
          <w:p>
            <w:pPr>
              <w:adjustRightInd w:val="0"/>
              <w:snapToGrid w:val="0"/>
              <w:spacing w:after="0" w:line="38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独立用地：应包含名称、位置、范围等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非独立用地：应包含名称、位置等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能源部门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textAlignment w:val="center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供热厂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中国铁路济南局集团</w:t>
            </w: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铁路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铁路应包含起点、终点、名称、线路编码、单双线、设计时速、简称日期、是否高架、位置等属性；</w:t>
            </w:r>
          </w:p>
          <w:p>
            <w:pPr>
              <w:adjustRightInd w:val="0"/>
              <w:snapToGrid w:val="0"/>
              <w:spacing w:after="0" w:line="400" w:lineRule="exact"/>
              <w:textAlignment w:val="auto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资料全面完整，应包含位置、范围等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交通部门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轨道交通站点（地铁站）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轨道交通站点需区分地铁站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轻轨站；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资料全面完整，应包含名称、位置等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高速公路服务区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公共停车场（地面）、停车楼（地上）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对外交通场站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对外交通场站需区分码头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火车站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长途汽车站；其中码头需区分水运港客运站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固定顺岸码头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固定堤坝码头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栈桥式码头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浮码头，火车站需区分火车站（货运）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火车站（客运）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火车站（客货运），长途汽车站需区分长途汽车站（货运）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长途汽车站（客运）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长途汽车站（客货运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）;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</w:rPr>
              <w:t>公共交通场站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公共交通场站需区分公共汽车站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公共电车站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公共汽（电）车停车场（库）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出租汽车集中营业站（候客站）；其中公共汽车站需区分公共汽车首站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公共汽车末站，公共电车站需区分公共电车首站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公共电车末站；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资料全面完整，应包含名称、位置、范围等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矢量或文档资料，矢量图形优先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56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both"/>
              <w:rPr>
                <w:rFonts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napToGrid w:val="0"/>
                <w:color w:val="000000"/>
                <w:sz w:val="24"/>
                <w:szCs w:val="24"/>
                <w:lang w:eastAsia="zh-CN"/>
              </w:rPr>
              <w:t>公路、城市道路、乡村道路、匝道</w:t>
            </w:r>
          </w:p>
        </w:tc>
        <w:tc>
          <w:tcPr>
            <w:tcW w:w="48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公路应包含编号、全称、车道数、路宽、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pacing w:val="-20"/>
                <w:sz w:val="24"/>
                <w:szCs w:val="24"/>
                <w:lang w:eastAsia="zh-CN"/>
              </w:rPr>
              <w:t>简称、是否高架、技术等级、位置等属性；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城市道路应包含名称、车道数、类型、路宽、是否高架、长度、位置等属性；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乡村道路应包含名称、类型（农村硬化道路</w:t>
            </w:r>
            <w:r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/机耕路/乡村路）、位置等属性</w:t>
            </w: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匝道应包含名称、位置等属性；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  <w:lang w:eastAsia="zh-CN"/>
              </w:rPr>
              <w:t>资料全面完整，应包含位置、范围等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eastAsia="仿宋_GB2312" w:hAnsiTheme="minorHAnsi" w:cstheme="minorBidi"/>
                <w:snapToGrid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color w:val="auto"/>
                <w:sz w:val="24"/>
                <w:szCs w:val="24"/>
              </w:rPr>
              <w:t>矢量图形</w:t>
            </w:r>
          </w:p>
        </w:tc>
      </w:tr>
    </w:tbl>
    <w:p>
      <w:pPr>
        <w:adjustRightInd w:val="0"/>
        <w:snapToGrid w:val="0"/>
        <w:spacing w:after="0" w:line="560" w:lineRule="exact"/>
        <w:ind w:left="700" w:right="0" w:rightChars="0" w:hanging="937" w:hangingChars="250"/>
        <w:jc w:val="both"/>
        <w:rPr>
          <w:rFonts w:ascii="仿宋_GB2312" w:eastAsia="仿宋_GB2312" w:hAnsiTheme="minorEastAsia"/>
          <w:snapToGrid w:val="0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napToGrid w:val="0"/>
          <w:sz w:val="28"/>
          <w:szCs w:val="28"/>
          <w:lang w:eastAsia="zh-CN"/>
        </w:rPr>
        <w:t>说明：清单中的部分资料可能存在不同部门共同管理情况。开展此类资料收集工作时，应向多个资料来源部门收集，保证资料的全面性和准确性。</w:t>
      </w:r>
    </w:p>
    <w:p>
      <w:pPr>
        <w:adjustRightInd w:val="0"/>
        <w:snapToGrid w:val="0"/>
        <w:spacing w:after="0" w:line="560" w:lineRule="exact"/>
        <w:jc w:val="both"/>
        <w:rPr>
          <w:rFonts w:ascii="仿宋" w:hAnsi="仿宋" w:eastAsia="仿宋"/>
          <w:snapToGrid w:val="0"/>
          <w:sz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60" w:header="709" w:footer="1418" w:gutter="0"/>
      <w:pgNumType w:fmt="numberInDash" w:start="7"/>
      <w:cols w:space="708" w:num="1"/>
      <w:docGrid w:type="linesAndChars" w:linePitch="579" w:charSpace="19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36297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569077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A1704"/>
    <w:rsid w:val="1ED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zh-CN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2023-07-26T00:42:00Z</dcterms:created>
  <dc:creator>Hp</dc:creator>
  <cp:lastModifiedBy>Hp</cp:lastModifiedBy>
  <dcterms:modified xsi:type="dcterms:W3CDTF">2023-07-26T00:43:24Z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