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1B4B2">
      <w:pPr>
        <w:spacing w:line="578" w:lineRule="exact"/>
        <w:jc w:val="center"/>
        <w:rPr>
          <w:rFonts w:ascii="Times New Roman" w:hAnsi="Times New Roman" w:eastAsia="方正小标宋_GBK"/>
          <w:sz w:val="44"/>
          <w:szCs w:val="44"/>
        </w:rPr>
      </w:pPr>
      <w:bookmarkStart w:id="0" w:name="_GoBack"/>
      <w:r>
        <w:rPr>
          <w:rFonts w:ascii="Times New Roman" w:hAnsi="Times New Roman" w:eastAsia="方正小标宋_GBK"/>
          <w:sz w:val="44"/>
          <w:szCs w:val="44"/>
        </w:rPr>
        <w:t>巴中市农村产权流转交易目录</w:t>
      </w:r>
      <w:bookmarkEnd w:id="0"/>
    </w:p>
    <w:p w14:paraId="39B2C547">
      <w:pPr>
        <w:spacing w:line="578" w:lineRule="exact"/>
        <w:jc w:val="center"/>
        <w:rPr>
          <w:rFonts w:ascii="Times New Roman" w:hAnsi="Times New Roman" w:eastAsia="方正小标宋_GBK"/>
          <w:sz w:val="36"/>
          <w:szCs w:val="36"/>
        </w:rPr>
      </w:pPr>
    </w:p>
    <w:tbl>
      <w:tblPr>
        <w:tblStyle w:val="2"/>
        <w:tblW w:w="8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5913"/>
      </w:tblGrid>
      <w:tr w14:paraId="250C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370793CB">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一、资源类</w:t>
            </w:r>
          </w:p>
        </w:tc>
        <w:tc>
          <w:tcPr>
            <w:tcW w:w="5913" w:type="dxa"/>
            <w:tcBorders>
              <w:top w:val="single" w:color="auto" w:sz="4" w:space="0"/>
              <w:left w:val="single" w:color="auto" w:sz="4" w:space="0"/>
              <w:bottom w:val="single" w:color="auto" w:sz="4" w:space="0"/>
              <w:right w:val="single" w:color="auto" w:sz="4" w:space="0"/>
            </w:tcBorders>
            <w:noWrap/>
            <w:vAlign w:val="center"/>
          </w:tcPr>
          <w:p w14:paraId="4C3284B3">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内    容</w:t>
            </w:r>
          </w:p>
        </w:tc>
      </w:tr>
      <w:tr w14:paraId="491B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27BA49A8">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1.农户土地承包经营权</w:t>
            </w:r>
          </w:p>
        </w:tc>
        <w:tc>
          <w:tcPr>
            <w:tcW w:w="5913" w:type="dxa"/>
            <w:tcBorders>
              <w:top w:val="single" w:color="auto" w:sz="4" w:space="0"/>
              <w:left w:val="single" w:color="auto" w:sz="4" w:space="0"/>
              <w:bottom w:val="single" w:color="auto" w:sz="4" w:space="0"/>
              <w:right w:val="single" w:color="auto" w:sz="4" w:space="0"/>
            </w:tcBorders>
            <w:noWrap/>
            <w:vAlign w:val="center"/>
          </w:tcPr>
          <w:p w14:paraId="1520ED0E">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采取出租、入股等方式流转交易</w:t>
            </w:r>
          </w:p>
        </w:tc>
      </w:tr>
      <w:tr w14:paraId="5DDB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5326F284">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2.农村“四荒地”</w:t>
            </w:r>
          </w:p>
        </w:tc>
        <w:tc>
          <w:tcPr>
            <w:tcW w:w="5913" w:type="dxa"/>
            <w:tcBorders>
              <w:top w:val="single" w:color="auto" w:sz="4" w:space="0"/>
              <w:left w:val="single" w:color="auto" w:sz="4" w:space="0"/>
              <w:bottom w:val="single" w:color="auto" w:sz="4" w:space="0"/>
              <w:right w:val="single" w:color="auto" w:sz="4" w:space="0"/>
            </w:tcBorders>
            <w:noWrap/>
            <w:vAlign w:val="center"/>
          </w:tcPr>
          <w:p w14:paraId="4F63DD1E">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农村集体所有荒山、荒沟、荒丘、荒滩发包及经营权流转</w:t>
            </w:r>
          </w:p>
        </w:tc>
      </w:tr>
      <w:tr w14:paraId="5DE8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4E4865BE">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3.农村水域滩涂</w:t>
            </w:r>
          </w:p>
        </w:tc>
        <w:tc>
          <w:tcPr>
            <w:tcW w:w="5913" w:type="dxa"/>
            <w:tcBorders>
              <w:top w:val="single" w:color="auto" w:sz="4" w:space="0"/>
              <w:left w:val="single" w:color="auto" w:sz="4" w:space="0"/>
              <w:bottom w:val="single" w:color="auto" w:sz="4" w:space="0"/>
              <w:right w:val="single" w:color="auto" w:sz="4" w:space="0"/>
            </w:tcBorders>
            <w:noWrap/>
            <w:vAlign w:val="center"/>
          </w:tcPr>
          <w:p w14:paraId="2A581739">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农村水域滩涂经营权流转</w:t>
            </w:r>
          </w:p>
        </w:tc>
      </w:tr>
      <w:tr w14:paraId="15D3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2696DBCA">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4.林权</w:t>
            </w:r>
          </w:p>
        </w:tc>
        <w:tc>
          <w:tcPr>
            <w:tcW w:w="5913" w:type="dxa"/>
            <w:tcBorders>
              <w:top w:val="single" w:color="auto" w:sz="4" w:space="0"/>
              <w:left w:val="single" w:color="auto" w:sz="4" w:space="0"/>
              <w:bottom w:val="single" w:color="auto" w:sz="4" w:space="0"/>
              <w:right w:val="single" w:color="auto" w:sz="4" w:space="0"/>
            </w:tcBorders>
            <w:noWrap/>
            <w:vAlign w:val="center"/>
          </w:tcPr>
          <w:p w14:paraId="4505A794">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农村集体林地（包含自留山）经营权、林木所有权和使用权等流转交易</w:t>
            </w:r>
          </w:p>
        </w:tc>
      </w:tr>
      <w:tr w14:paraId="4260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5A5F061F">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5.农村集体经营性建设用地</w:t>
            </w:r>
          </w:p>
        </w:tc>
        <w:tc>
          <w:tcPr>
            <w:tcW w:w="5913" w:type="dxa"/>
            <w:tcBorders>
              <w:top w:val="single" w:color="auto" w:sz="4" w:space="0"/>
              <w:left w:val="single" w:color="auto" w:sz="4" w:space="0"/>
              <w:bottom w:val="single" w:color="auto" w:sz="4" w:space="0"/>
              <w:right w:val="single" w:color="auto" w:sz="4" w:space="0"/>
            </w:tcBorders>
            <w:noWrap/>
            <w:vAlign w:val="center"/>
          </w:tcPr>
          <w:p w14:paraId="79130D08">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集体经营性建设用地使用权出让、出租、作价出资（入股）等有偿方式进行流转交易</w:t>
            </w:r>
          </w:p>
        </w:tc>
      </w:tr>
      <w:tr w14:paraId="2A1E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3F11CEF1">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6.城乡建设用地增减挂钩节余指标</w:t>
            </w:r>
          </w:p>
        </w:tc>
        <w:tc>
          <w:tcPr>
            <w:tcW w:w="5913" w:type="dxa"/>
            <w:tcBorders>
              <w:top w:val="single" w:color="auto" w:sz="4" w:space="0"/>
              <w:left w:val="single" w:color="auto" w:sz="4" w:space="0"/>
              <w:bottom w:val="single" w:color="auto" w:sz="4" w:space="0"/>
              <w:right w:val="single" w:color="auto" w:sz="4" w:space="0"/>
            </w:tcBorders>
            <w:noWrap/>
            <w:vAlign w:val="center"/>
          </w:tcPr>
          <w:p w14:paraId="50FB2B25">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城乡建设用地增减挂钩节余指标交易</w:t>
            </w:r>
          </w:p>
        </w:tc>
      </w:tr>
      <w:tr w14:paraId="0F1E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17D4DDAE">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7.建设占用耕地易地占补平衡指标</w:t>
            </w:r>
          </w:p>
        </w:tc>
        <w:tc>
          <w:tcPr>
            <w:tcW w:w="5913" w:type="dxa"/>
            <w:tcBorders>
              <w:top w:val="single" w:color="auto" w:sz="4" w:space="0"/>
              <w:left w:val="single" w:color="auto" w:sz="4" w:space="0"/>
              <w:bottom w:val="single" w:color="auto" w:sz="4" w:space="0"/>
              <w:right w:val="single" w:color="auto" w:sz="4" w:space="0"/>
            </w:tcBorders>
            <w:noWrap/>
            <w:vAlign w:val="center"/>
          </w:tcPr>
          <w:p w14:paraId="4413E5C8">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建设占用耕地易地占补平衡指标交易</w:t>
            </w:r>
          </w:p>
        </w:tc>
      </w:tr>
      <w:tr w14:paraId="58B4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5D45F09A">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二、资产类</w:t>
            </w:r>
          </w:p>
        </w:tc>
        <w:tc>
          <w:tcPr>
            <w:tcW w:w="5913" w:type="dxa"/>
            <w:tcBorders>
              <w:top w:val="single" w:color="auto" w:sz="4" w:space="0"/>
              <w:left w:val="single" w:color="auto" w:sz="4" w:space="0"/>
              <w:bottom w:val="single" w:color="auto" w:sz="4" w:space="0"/>
              <w:right w:val="single" w:color="auto" w:sz="4" w:space="0"/>
            </w:tcBorders>
            <w:noWrap/>
            <w:vAlign w:val="center"/>
          </w:tcPr>
          <w:p w14:paraId="38FAA459">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内    容</w:t>
            </w:r>
          </w:p>
        </w:tc>
      </w:tr>
      <w:tr w14:paraId="1FD8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4F44F959">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8.农村集体经营性财产</w:t>
            </w:r>
          </w:p>
        </w:tc>
        <w:tc>
          <w:tcPr>
            <w:tcW w:w="5913" w:type="dxa"/>
            <w:tcBorders>
              <w:top w:val="single" w:color="auto" w:sz="4" w:space="0"/>
              <w:left w:val="single" w:color="auto" w:sz="4" w:space="0"/>
              <w:bottom w:val="single" w:color="auto" w:sz="4" w:space="0"/>
              <w:right w:val="single" w:color="auto" w:sz="4" w:space="0"/>
            </w:tcBorders>
            <w:noWrap/>
            <w:vAlign w:val="center"/>
          </w:tcPr>
          <w:p w14:paraId="65228EC9">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由农村集体统一经营或委托管理的经营性财产（不含土地）的经营权或使用权流转</w:t>
            </w:r>
          </w:p>
        </w:tc>
      </w:tr>
      <w:tr w14:paraId="03C2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24071300">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9.农村集体财产股权</w:t>
            </w:r>
          </w:p>
        </w:tc>
        <w:tc>
          <w:tcPr>
            <w:tcW w:w="5913" w:type="dxa"/>
            <w:tcBorders>
              <w:top w:val="single" w:color="auto" w:sz="4" w:space="0"/>
              <w:left w:val="single" w:color="auto" w:sz="4" w:space="0"/>
              <w:bottom w:val="single" w:color="auto" w:sz="4" w:space="0"/>
              <w:right w:val="single" w:color="auto" w:sz="4" w:space="0"/>
            </w:tcBorders>
            <w:noWrap/>
            <w:vAlign w:val="center"/>
          </w:tcPr>
          <w:p w14:paraId="77FE687D">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集体经济组织成员所拥有的集体经营性财产收益权，在符合法律法规的前提下可以在本集体经济组织内部流转交易；集体经济组织在其他市场主体持有的财产股权转让，达到一定标的额的，应入市交易</w:t>
            </w:r>
          </w:p>
        </w:tc>
      </w:tr>
      <w:tr w14:paraId="5EDF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4D220837">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10.闲置农户住宅</w:t>
            </w:r>
          </w:p>
        </w:tc>
        <w:tc>
          <w:tcPr>
            <w:tcW w:w="5913" w:type="dxa"/>
            <w:tcBorders>
              <w:top w:val="single" w:color="auto" w:sz="4" w:space="0"/>
              <w:left w:val="single" w:color="auto" w:sz="4" w:space="0"/>
              <w:bottom w:val="single" w:color="auto" w:sz="4" w:space="0"/>
              <w:right w:val="single" w:color="auto" w:sz="4" w:space="0"/>
            </w:tcBorders>
            <w:noWrap/>
            <w:vAlign w:val="center"/>
          </w:tcPr>
          <w:p w14:paraId="37DD32C9">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闲置农户住宅使用权以出租、入股等方式流转</w:t>
            </w:r>
          </w:p>
        </w:tc>
      </w:tr>
      <w:tr w14:paraId="1B60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4E3BB56C">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11.农村农户住宅</w:t>
            </w:r>
          </w:p>
        </w:tc>
        <w:tc>
          <w:tcPr>
            <w:tcW w:w="5913" w:type="dxa"/>
            <w:tcBorders>
              <w:top w:val="single" w:color="auto" w:sz="4" w:space="0"/>
              <w:left w:val="single" w:color="auto" w:sz="4" w:space="0"/>
              <w:bottom w:val="single" w:color="auto" w:sz="4" w:space="0"/>
              <w:right w:val="single" w:color="auto" w:sz="4" w:space="0"/>
            </w:tcBorders>
            <w:noWrap/>
            <w:vAlign w:val="center"/>
          </w:tcPr>
          <w:p w14:paraId="2EA684BC">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各类农村农户住宅所有权在集体经济组织内部流转</w:t>
            </w:r>
          </w:p>
        </w:tc>
      </w:tr>
      <w:tr w14:paraId="5F0C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6FA836ED">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12.农业生产设施设备</w:t>
            </w:r>
          </w:p>
        </w:tc>
        <w:tc>
          <w:tcPr>
            <w:tcW w:w="5913" w:type="dxa"/>
            <w:tcBorders>
              <w:top w:val="single" w:color="auto" w:sz="4" w:space="0"/>
              <w:left w:val="single" w:color="auto" w:sz="4" w:space="0"/>
              <w:bottom w:val="single" w:color="auto" w:sz="4" w:space="0"/>
              <w:right w:val="single" w:color="auto" w:sz="4" w:space="0"/>
            </w:tcBorders>
            <w:noWrap/>
            <w:vAlign w:val="center"/>
          </w:tcPr>
          <w:p w14:paraId="4076A5F9">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农业生产设施设备所有权和使用权流转</w:t>
            </w:r>
          </w:p>
        </w:tc>
      </w:tr>
      <w:tr w14:paraId="0F23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3D77E4F3">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13.小型水利设施</w:t>
            </w:r>
          </w:p>
        </w:tc>
        <w:tc>
          <w:tcPr>
            <w:tcW w:w="5913" w:type="dxa"/>
            <w:tcBorders>
              <w:top w:val="single" w:color="auto" w:sz="4" w:space="0"/>
              <w:left w:val="single" w:color="auto" w:sz="4" w:space="0"/>
              <w:bottom w:val="single" w:color="auto" w:sz="4" w:space="0"/>
              <w:right w:val="single" w:color="auto" w:sz="4" w:space="0"/>
            </w:tcBorders>
            <w:noWrap/>
            <w:vAlign w:val="center"/>
          </w:tcPr>
          <w:p w14:paraId="06F9B173">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小型水利设施所有权、经营权流转</w:t>
            </w:r>
          </w:p>
        </w:tc>
      </w:tr>
      <w:tr w14:paraId="0DFE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5DA41F3D">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14.涉农知识产权</w:t>
            </w:r>
          </w:p>
        </w:tc>
        <w:tc>
          <w:tcPr>
            <w:tcW w:w="5913" w:type="dxa"/>
            <w:tcBorders>
              <w:top w:val="single" w:color="auto" w:sz="4" w:space="0"/>
              <w:left w:val="single" w:color="auto" w:sz="4" w:space="0"/>
              <w:bottom w:val="single" w:color="auto" w:sz="4" w:space="0"/>
              <w:right w:val="single" w:color="auto" w:sz="4" w:space="0"/>
            </w:tcBorders>
            <w:noWrap/>
            <w:vAlign w:val="center"/>
          </w:tcPr>
          <w:p w14:paraId="630A2740">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涉农专利、商标、版权、植物新品种权、畜禽新品种权和经省级认定的农业科技成果等，采取转让、许可使用、出租、入股等方式流转交易</w:t>
            </w:r>
          </w:p>
        </w:tc>
      </w:tr>
      <w:tr w14:paraId="1DA8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64391999">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三、资金类</w:t>
            </w:r>
          </w:p>
        </w:tc>
        <w:tc>
          <w:tcPr>
            <w:tcW w:w="5913" w:type="dxa"/>
            <w:tcBorders>
              <w:top w:val="single" w:color="auto" w:sz="4" w:space="0"/>
              <w:left w:val="single" w:color="auto" w:sz="4" w:space="0"/>
              <w:bottom w:val="single" w:color="auto" w:sz="4" w:space="0"/>
              <w:right w:val="single" w:color="auto" w:sz="4" w:space="0"/>
            </w:tcBorders>
            <w:noWrap/>
            <w:vAlign w:val="center"/>
          </w:tcPr>
          <w:p w14:paraId="3B246C78">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内    容</w:t>
            </w:r>
          </w:p>
        </w:tc>
      </w:tr>
      <w:tr w14:paraId="5843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3FFF8885">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15.农村产业项目</w:t>
            </w:r>
          </w:p>
        </w:tc>
        <w:tc>
          <w:tcPr>
            <w:tcW w:w="5913" w:type="dxa"/>
            <w:tcBorders>
              <w:top w:val="single" w:color="auto" w:sz="4" w:space="0"/>
              <w:left w:val="single" w:color="auto" w:sz="4" w:space="0"/>
              <w:bottom w:val="single" w:color="auto" w:sz="4" w:space="0"/>
              <w:right w:val="single" w:color="auto" w:sz="4" w:space="0"/>
            </w:tcBorders>
            <w:noWrap/>
            <w:vAlign w:val="center"/>
          </w:tcPr>
          <w:p w14:paraId="6880EEDB">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农村产业项目招商和转让</w:t>
            </w:r>
          </w:p>
        </w:tc>
      </w:tr>
      <w:tr w14:paraId="60B1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1EEAFCF5">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16.涉农资金项目招标采购</w:t>
            </w:r>
          </w:p>
        </w:tc>
        <w:tc>
          <w:tcPr>
            <w:tcW w:w="5913" w:type="dxa"/>
            <w:tcBorders>
              <w:top w:val="single" w:color="auto" w:sz="4" w:space="0"/>
              <w:left w:val="single" w:color="auto" w:sz="4" w:space="0"/>
              <w:bottom w:val="single" w:color="auto" w:sz="4" w:space="0"/>
              <w:right w:val="single" w:color="auto" w:sz="4" w:space="0"/>
            </w:tcBorders>
            <w:noWrap/>
            <w:vAlign w:val="center"/>
          </w:tcPr>
          <w:p w14:paraId="2274D3F3">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在农业领域全部或部分使用政府资金进行的农业基础设施项目和农业产业项目或村、社区和集体经济组织作为招标（采购）主体的农村工程建设、货物、服务招标（采购）项目等，达到一定标的额的可以采取公开招标、竞争性谈判、竞争性磋商等方式交易（依法进入公共资源交易平台公开招标的除外）</w:t>
            </w:r>
          </w:p>
        </w:tc>
      </w:tr>
      <w:tr w14:paraId="5552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27F0C27D">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四、其他类</w:t>
            </w:r>
          </w:p>
        </w:tc>
        <w:tc>
          <w:tcPr>
            <w:tcW w:w="5913" w:type="dxa"/>
            <w:tcBorders>
              <w:top w:val="single" w:color="auto" w:sz="4" w:space="0"/>
              <w:left w:val="single" w:color="auto" w:sz="4" w:space="0"/>
              <w:bottom w:val="single" w:color="auto" w:sz="4" w:space="0"/>
              <w:right w:val="single" w:color="auto" w:sz="4" w:space="0"/>
            </w:tcBorders>
            <w:noWrap/>
            <w:vAlign w:val="center"/>
          </w:tcPr>
          <w:p w14:paraId="28C95C5E">
            <w:pPr>
              <w:widowControl/>
              <w:adjustRightInd w:val="0"/>
              <w:snapToGrid w:val="0"/>
              <w:spacing w:line="360" w:lineRule="exact"/>
              <w:jc w:val="center"/>
              <w:rPr>
                <w:rFonts w:ascii="Times New Roman" w:hAnsi="Times New Roman" w:eastAsia="方正黑体_GBK"/>
                <w:sz w:val="28"/>
                <w:szCs w:val="28"/>
              </w:rPr>
            </w:pPr>
            <w:r>
              <w:rPr>
                <w:rFonts w:ascii="Times New Roman" w:hAnsi="Times New Roman" w:eastAsia="方正黑体_GBK"/>
                <w:sz w:val="28"/>
                <w:szCs w:val="28"/>
              </w:rPr>
              <w:t>内    容</w:t>
            </w:r>
          </w:p>
        </w:tc>
      </w:tr>
      <w:tr w14:paraId="005B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10266085">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17.农村产权金融服务</w:t>
            </w:r>
          </w:p>
        </w:tc>
        <w:tc>
          <w:tcPr>
            <w:tcW w:w="5913" w:type="dxa"/>
            <w:tcBorders>
              <w:top w:val="single" w:color="auto" w:sz="4" w:space="0"/>
              <w:left w:val="single" w:color="auto" w:sz="4" w:space="0"/>
              <w:bottom w:val="single" w:color="auto" w:sz="4" w:space="0"/>
              <w:right w:val="single" w:color="auto" w:sz="4" w:space="0"/>
            </w:tcBorders>
            <w:noWrap/>
            <w:vAlign w:val="center"/>
          </w:tcPr>
          <w:p w14:paraId="63F6B6EF">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农村产权质（抵）押、保险等综合融资服务</w:t>
            </w:r>
          </w:p>
        </w:tc>
      </w:tr>
      <w:tr w14:paraId="499A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688C0974">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18.粮食购销</w:t>
            </w:r>
          </w:p>
        </w:tc>
        <w:tc>
          <w:tcPr>
            <w:tcW w:w="5913" w:type="dxa"/>
            <w:tcBorders>
              <w:top w:val="single" w:color="auto" w:sz="4" w:space="0"/>
              <w:left w:val="single" w:color="auto" w:sz="4" w:space="0"/>
              <w:bottom w:val="single" w:color="auto" w:sz="4" w:space="0"/>
              <w:right w:val="single" w:color="auto" w:sz="4" w:space="0"/>
            </w:tcBorders>
            <w:noWrap/>
            <w:vAlign w:val="center"/>
          </w:tcPr>
          <w:p w14:paraId="71469C0E">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政策性粮食采购和销售</w:t>
            </w:r>
          </w:p>
        </w:tc>
      </w:tr>
      <w:tr w14:paraId="5D6E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079" w:type="dxa"/>
            <w:tcBorders>
              <w:top w:val="single" w:color="auto" w:sz="4" w:space="0"/>
              <w:left w:val="single" w:color="auto" w:sz="4" w:space="0"/>
              <w:bottom w:val="single" w:color="auto" w:sz="4" w:space="0"/>
              <w:right w:val="single" w:color="auto" w:sz="4" w:space="0"/>
            </w:tcBorders>
            <w:noWrap/>
            <w:vAlign w:val="center"/>
          </w:tcPr>
          <w:p w14:paraId="4B17F003">
            <w:pPr>
              <w:pStyle w:val="4"/>
              <w:rPr>
                <w:rFonts w:ascii="Times New Roman" w:hAnsi="Times New Roman" w:eastAsia="方正仿宋_GBK" w:cs="Times New Roman"/>
                <w:color w:val="auto"/>
              </w:rPr>
            </w:pPr>
            <w:r>
              <w:rPr>
                <w:rFonts w:ascii="Times New Roman" w:hAnsi="Times New Roman" w:eastAsia="方正仿宋_GBK" w:cs="Times New Roman"/>
                <w:color w:val="auto"/>
              </w:rPr>
              <w:t>19.其他涉农项目服务</w:t>
            </w:r>
          </w:p>
        </w:tc>
        <w:tc>
          <w:tcPr>
            <w:tcW w:w="5913" w:type="dxa"/>
            <w:tcBorders>
              <w:top w:val="single" w:color="auto" w:sz="4" w:space="0"/>
              <w:left w:val="single" w:color="auto" w:sz="4" w:space="0"/>
              <w:bottom w:val="single" w:color="auto" w:sz="4" w:space="0"/>
              <w:right w:val="single" w:color="auto" w:sz="4" w:space="0"/>
            </w:tcBorders>
            <w:noWrap/>
            <w:vAlign w:val="center"/>
          </w:tcPr>
          <w:p w14:paraId="6F74555A">
            <w:pPr>
              <w:widowControl/>
              <w:adjustRightInd w:val="0"/>
              <w:snapToGrid w:val="0"/>
              <w:spacing w:line="360" w:lineRule="exact"/>
              <w:rPr>
                <w:rFonts w:ascii="Times New Roman" w:hAnsi="Times New Roman" w:eastAsia="方正仿宋_GBK"/>
                <w:sz w:val="28"/>
                <w:szCs w:val="28"/>
              </w:rPr>
            </w:pPr>
            <w:r>
              <w:rPr>
                <w:rFonts w:ascii="Times New Roman" w:hAnsi="Times New Roman" w:eastAsia="方正仿宋_GBK"/>
                <w:sz w:val="28"/>
                <w:szCs w:val="28"/>
              </w:rPr>
              <w:t>农业生产资料购销、大宗农产品销售、农业社会化服务等</w:t>
            </w:r>
          </w:p>
        </w:tc>
      </w:tr>
    </w:tbl>
    <w:p w14:paraId="58229970">
      <w:pPr>
        <w:spacing w:line="560" w:lineRule="exact"/>
        <w:rPr>
          <w:rFonts w:ascii="Times New Roman" w:hAnsi="Times New Roman" w:eastAsia="方正黑体_GBK"/>
          <w:bCs/>
        </w:rPr>
      </w:pPr>
    </w:p>
    <w:p w14:paraId="240A1165">
      <w:pPr>
        <w:spacing w:line="560" w:lineRule="exact"/>
        <w:rPr>
          <w:rFonts w:ascii="Times New Roman" w:hAnsi="Times New Roman" w:eastAsia="方正黑体_GBK"/>
          <w:bCs/>
        </w:rPr>
      </w:pPr>
    </w:p>
    <w:p w14:paraId="309CB85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兰亭黑_GBK">
    <w:panose1 w:val="02000000000000000000"/>
    <w:charset w:val="86"/>
    <w:family w:val="script"/>
    <w:pitch w:val="default"/>
    <w:sig w:usb0="A00002BF" w:usb1="3ACF7CFA" w:usb2="00080016" w:usb3="00000000" w:csb0="00040001" w:csb1="00000000"/>
  </w:font>
  <w:font w:name="方正仿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34F568B"/>
    <w:rsid w:val="B34F5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qFormat/>
    <w:uiPriority w:val="0"/>
    <w:pPr>
      <w:widowControl w:val="0"/>
      <w:kinsoku w:val="0"/>
      <w:autoSpaceDE w:val="0"/>
      <w:autoSpaceDN w:val="0"/>
      <w:adjustRightInd w:val="0"/>
      <w:snapToGrid w:val="0"/>
      <w:jc w:val="both"/>
      <w:textAlignment w:val="baseline"/>
    </w:pPr>
    <w:rPr>
      <w:rFonts w:ascii="仿宋" w:eastAsia="仿宋" w:cs="宋体"/>
      <w:color w:val="000000"/>
      <w:kern w:val="2"/>
      <w:sz w:val="28"/>
      <w:szCs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2026-07-14T17:48:00Z</dcterms:created>
  <dc:creator>夙の夜</dc:creator>
  <cp:lastModifiedBy>夙の夜</cp:lastModifiedBy>
  <dcterms:modified xsi:type="dcterms:W3CDTF">2026-07-14T17:48:40Z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249128C25D646841EB05566A400B1A08_41</vt:lpwstr>
  </property>
</Properties>
</file>