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30A97">
      <w:pPr>
        <w:keepNext w:val="0"/>
        <w:keepLines w:val="0"/>
        <w:pageBreakBefore w:val="0"/>
        <w:widowControl w:val="0"/>
        <w:kinsoku/>
        <w:wordWrap/>
        <w:overflowPunct/>
        <w:topLinePunct w:val="0"/>
        <w:autoSpaceDE/>
        <w:autoSpaceDN/>
        <w:bidi w:val="0"/>
        <w:adjustRightInd/>
        <w:snapToGrid/>
        <w:spacing w:line="640" w:lineRule="exact"/>
        <w:textAlignment w:val="auto"/>
        <w:rPr>
          <w:rFonts w:ascii="黑体" w:hAnsi="黑体" w:eastAsia="黑体" w:cs="黑体"/>
          <w:color w:val="000000"/>
          <w:kern w:val="2"/>
          <w:sz w:val="32"/>
          <w:szCs w:val="32"/>
          <w:u w:val="none"/>
        </w:rPr>
      </w:pPr>
      <w:r>
        <w:rPr>
          <w:rFonts w:hint="eastAsia" w:ascii="黑体" w:hAnsi="黑体" w:eastAsia="黑体" w:cs="黑体"/>
          <w:color w:val="000000"/>
          <w:kern w:val="2"/>
          <w:sz w:val="32"/>
          <w:szCs w:val="32"/>
          <w:u w:val="none"/>
        </w:rPr>
        <w:t>附件</w:t>
      </w:r>
      <w:r>
        <w:rPr>
          <w:rFonts w:hint="default" w:ascii="Times New Roman" w:hAnsi="Times New Roman" w:eastAsia="黑体" w:cs="Times New Roman"/>
          <w:color w:val="000000"/>
          <w:kern w:val="2"/>
          <w:sz w:val="32"/>
          <w:szCs w:val="32"/>
          <w:u w:val="none"/>
          <w:lang w:val="en-US" w:eastAsia="zh-CN"/>
        </w:rPr>
        <w:t>3</w:t>
      </w:r>
    </w:p>
    <w:p w14:paraId="553612ED">
      <w:pPr>
        <w:keepNext w:val="0"/>
        <w:keepLines w:val="0"/>
        <w:pageBreakBefore w:val="0"/>
        <w:widowControl w:val="0"/>
        <w:kinsoku/>
        <w:wordWrap/>
        <w:overflowPunct/>
        <w:topLinePunct w:val="0"/>
        <w:autoSpaceDE/>
        <w:autoSpaceDN/>
        <w:bidi w:val="0"/>
        <w:adjustRightInd/>
        <w:snapToGrid/>
        <w:spacing w:line="640" w:lineRule="exact"/>
        <w:textAlignment w:val="auto"/>
        <w:rPr>
          <w:rFonts w:ascii="Times New Roman" w:hAnsi="Times New Roman" w:eastAsia="方正仿宋_GBK" w:cs="Times New Roman"/>
          <w:kern w:val="2"/>
          <w:sz w:val="32"/>
          <w:szCs w:val="24"/>
          <w:u w:val="none"/>
        </w:rPr>
      </w:pPr>
    </w:p>
    <w:p w14:paraId="0E2289D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_GBK" w:hAnsi="方正小标宋_GBK" w:eastAsia="方正小标宋_GBK" w:cs="方正小标宋_GBK"/>
          <w:spacing w:val="-20"/>
          <w:kern w:val="2"/>
          <w:sz w:val="44"/>
          <w:szCs w:val="44"/>
          <w:u w:val="none"/>
        </w:rPr>
      </w:pPr>
      <w:r>
        <w:rPr>
          <w:rFonts w:hint="eastAsia" w:ascii="方正小标宋_GBK" w:hAnsi="方正小标宋_GBK" w:eastAsia="方正小标宋_GBK" w:cs="方正小标宋_GBK"/>
          <w:spacing w:val="-20"/>
          <w:kern w:val="2"/>
          <w:sz w:val="44"/>
          <w:szCs w:val="44"/>
          <w:u w:val="none"/>
        </w:rPr>
        <w:t>建设项目</w:t>
      </w:r>
      <w:r>
        <w:rPr>
          <w:rFonts w:hint="eastAsia" w:ascii="方正小标宋_GBK" w:hAnsi="方正小标宋_GBK" w:eastAsia="方正小标宋_GBK" w:cs="方正小标宋_GBK"/>
          <w:spacing w:val="-20"/>
          <w:kern w:val="2"/>
          <w:sz w:val="44"/>
          <w:szCs w:val="44"/>
          <w:u w:val="none"/>
          <w:lang w:eastAsia="zh-CN"/>
        </w:rPr>
        <w:t>用地用林</w:t>
      </w:r>
      <w:r>
        <w:rPr>
          <w:rFonts w:hint="eastAsia" w:ascii="方正小标宋_GBK" w:hAnsi="方正小标宋_GBK" w:eastAsia="方正小标宋_GBK" w:cs="方正小标宋_GBK"/>
          <w:spacing w:val="-20"/>
          <w:kern w:val="2"/>
          <w:sz w:val="44"/>
          <w:szCs w:val="44"/>
          <w:u w:val="none"/>
        </w:rPr>
        <w:t>“多项论证合一”操作指引</w:t>
      </w:r>
    </w:p>
    <w:p w14:paraId="73FD0DC3">
      <w:pPr>
        <w:keepNext w:val="0"/>
        <w:keepLines w:val="0"/>
        <w:pageBreakBefore w:val="0"/>
        <w:widowControl w:val="0"/>
        <w:kinsoku/>
        <w:wordWrap/>
        <w:overflowPunct/>
        <w:topLinePunct w:val="0"/>
        <w:autoSpaceDE/>
        <w:autoSpaceDN/>
        <w:bidi w:val="0"/>
        <w:adjustRightInd/>
        <w:snapToGrid/>
        <w:spacing w:line="640" w:lineRule="exact"/>
        <w:textAlignment w:val="auto"/>
        <w:rPr>
          <w:rFonts w:ascii="Times New Roman" w:hAnsi="Times New Roman" w:eastAsia="方正仿宋_GBK" w:cs="Times New Roman"/>
          <w:kern w:val="2"/>
          <w:sz w:val="32"/>
          <w:szCs w:val="24"/>
          <w:u w:val="none"/>
        </w:rPr>
      </w:pPr>
    </w:p>
    <w:p w14:paraId="0114DFF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方正仿宋_GBK" w:cs="Times New Roman"/>
          <w:kern w:val="2"/>
          <w:sz w:val="32"/>
          <w:szCs w:val="24"/>
          <w:u w:val="none"/>
        </w:rPr>
      </w:pPr>
      <w:r>
        <w:rPr>
          <w:rFonts w:hint="eastAsia" w:ascii="Times New Roman" w:hAnsi="Times New Roman" w:eastAsia="方正仿宋_GBK" w:cs="Times New Roman"/>
          <w:sz w:val="32"/>
          <w:szCs w:val="32"/>
          <w:u w:val="none"/>
        </w:rPr>
        <w:t>根据《自然资源部 国家林业和草原局关于进一步做好自然资源要素保障的通知》（自然资发〔2026〕38号）</w:t>
      </w:r>
      <w:r>
        <w:rPr>
          <w:rFonts w:ascii="Times New Roman" w:hAnsi="Times New Roman" w:eastAsia="方正仿宋_GBK" w:cs="Times New Roman"/>
          <w:kern w:val="2"/>
          <w:sz w:val="32"/>
          <w:szCs w:val="32"/>
          <w:u w:val="none"/>
        </w:rPr>
        <w:t>，</w:t>
      </w:r>
      <w:r>
        <w:rPr>
          <w:rFonts w:hint="eastAsia" w:ascii="Times New Roman" w:hAnsi="Times New Roman" w:eastAsia="方正仿宋_GBK" w:cs="Times New Roman"/>
          <w:sz w:val="32"/>
          <w:szCs w:val="32"/>
          <w:u w:val="none"/>
        </w:rPr>
        <w:t>结合我省实际，</w:t>
      </w:r>
      <w:r>
        <w:rPr>
          <w:rFonts w:hint="eastAsia" w:ascii="Times New Roman" w:hAnsi="Times New Roman" w:eastAsia="方正仿宋_GBK" w:cs="Times New Roman"/>
          <w:kern w:val="2"/>
          <w:sz w:val="32"/>
          <w:szCs w:val="24"/>
          <w:u w:val="none"/>
        </w:rPr>
        <w:t>制定本操作指引。</w:t>
      </w:r>
    </w:p>
    <w:p w14:paraId="210470B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方正黑体_GBK" w:hAnsi="方正黑体_GBK" w:eastAsia="方正黑体_GBK" w:cs="方正黑体_GBK"/>
          <w:kern w:val="2"/>
          <w:sz w:val="32"/>
          <w:szCs w:val="24"/>
          <w:u w:val="none"/>
        </w:rPr>
      </w:pPr>
      <w:r>
        <w:rPr>
          <w:rFonts w:hint="eastAsia" w:ascii="方正黑体_GBK" w:hAnsi="方正黑体_GBK" w:eastAsia="方正黑体_GBK" w:cs="方正黑体_GBK"/>
          <w:kern w:val="2"/>
          <w:sz w:val="32"/>
          <w:szCs w:val="24"/>
          <w:u w:val="none"/>
        </w:rPr>
        <w:t>一、适用范围</w:t>
      </w:r>
      <w:bookmarkStart w:id="0" w:name="_GoBack"/>
      <w:bookmarkEnd w:id="0"/>
    </w:p>
    <w:p w14:paraId="3D4D861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方正仿宋_GBK" w:cs="Times New Roman"/>
          <w:kern w:val="2"/>
          <w:sz w:val="32"/>
          <w:szCs w:val="24"/>
          <w:u w:val="none"/>
        </w:rPr>
      </w:pPr>
      <w:r>
        <w:rPr>
          <w:rFonts w:hint="eastAsia" w:ascii="Times New Roman" w:hAnsi="Times New Roman" w:eastAsia="方正仿宋_GBK" w:cs="Times New Roman"/>
          <w:kern w:val="2"/>
          <w:sz w:val="32"/>
          <w:szCs w:val="24"/>
          <w:u w:val="none"/>
        </w:rPr>
        <w:t>根据建设项目所处阶段，在申请办理用地预审与选址意见书或国土空间规划许可意见（准入阶段）、农用地转用和土地征收（报批阶段）前，涉及两种及以上论证专题的建设项目，鼓励实行“多项论证合一”。</w:t>
      </w:r>
    </w:p>
    <w:p w14:paraId="064C1B4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方正仿宋_GBK" w:cs="Times New Roman"/>
          <w:kern w:val="2"/>
          <w:sz w:val="32"/>
          <w:szCs w:val="24"/>
          <w:u w:val="none"/>
        </w:rPr>
      </w:pPr>
      <w:r>
        <w:rPr>
          <w:rFonts w:hint="eastAsia" w:ascii="Times New Roman" w:hAnsi="Times New Roman" w:eastAsia="方正仿宋_GBK" w:cs="Times New Roman"/>
          <w:kern w:val="2"/>
          <w:sz w:val="32"/>
          <w:szCs w:val="24"/>
          <w:u w:val="none"/>
        </w:rPr>
        <w:t>为有效提升相关审核审批事项总体效率，允许项目建设单位根据前期工作推进情况自主选择综合论证、部分合并论证或单独论证。</w:t>
      </w:r>
    </w:p>
    <w:p w14:paraId="04F523E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方正黑体_GBK" w:hAnsi="方正黑体_GBK" w:eastAsia="方正黑体_GBK" w:cs="方正黑体_GBK"/>
          <w:kern w:val="2"/>
          <w:sz w:val="32"/>
          <w:szCs w:val="24"/>
          <w:u w:val="none"/>
        </w:rPr>
      </w:pPr>
      <w:r>
        <w:rPr>
          <w:rFonts w:hint="eastAsia" w:ascii="方正黑体_GBK" w:hAnsi="方正黑体_GBK" w:eastAsia="方正黑体_GBK" w:cs="方正黑体_GBK"/>
          <w:kern w:val="2"/>
          <w:sz w:val="32"/>
          <w:szCs w:val="24"/>
          <w:u w:val="none"/>
        </w:rPr>
        <w:t>二、整合内容</w:t>
      </w:r>
    </w:p>
    <w:p w14:paraId="0EE1AEF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方正仿宋_GBK" w:cs="Times New Roman"/>
          <w:kern w:val="2"/>
          <w:sz w:val="32"/>
          <w:szCs w:val="24"/>
          <w:u w:val="none"/>
        </w:rPr>
      </w:pPr>
      <w:r>
        <w:rPr>
          <w:rFonts w:hint="eastAsia" w:ascii="方正楷体_GBK" w:hAnsi="方正楷体_GBK" w:eastAsia="方正楷体_GBK" w:cs="方正楷体_GBK"/>
          <w:kern w:val="2"/>
          <w:sz w:val="32"/>
          <w:szCs w:val="24"/>
          <w:u w:val="none"/>
        </w:rPr>
        <w:t>（一）准入阶段。</w:t>
      </w:r>
      <w:r>
        <w:rPr>
          <w:rFonts w:hint="eastAsia" w:ascii="Times New Roman" w:hAnsi="Times New Roman" w:eastAsia="方正仿宋_GBK" w:cs="Times New Roman"/>
          <w:kern w:val="2"/>
          <w:sz w:val="32"/>
          <w:szCs w:val="24"/>
          <w:u w:val="none"/>
        </w:rPr>
        <w:t>将原需单独编制的生态保护红线有限人为活动论证、生态空间管控区域有限人为活动论证/不可避让论证、节约集约用地论证分析专章（含规划选址论证、占用耕地踏勘论证、节地评价）、对自然保护区主要保护对象和自然生态系统影响评价、对风景名胜区资源生态和景观环境影响评价、对自然公园生态影响评价、占用省级以上公益林可行性、重要湿地保护与恢复方案论证、陆生野生动物影响评价等专题报告，合并编制《建设项目准入阶段综合论证报告》。</w:t>
      </w:r>
    </w:p>
    <w:p w14:paraId="26FA1D9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方正仿宋_GBK" w:cs="Times New Roman"/>
          <w:kern w:val="2"/>
          <w:sz w:val="32"/>
          <w:szCs w:val="24"/>
          <w:u w:val="none"/>
        </w:rPr>
      </w:pPr>
      <w:r>
        <w:rPr>
          <w:rFonts w:hint="eastAsia" w:ascii="Times New Roman" w:hAnsi="Times New Roman" w:eastAsia="方正仿宋_GBK" w:cs="Times New Roman"/>
          <w:kern w:val="2"/>
          <w:sz w:val="32"/>
          <w:szCs w:val="24"/>
          <w:u w:val="none"/>
        </w:rPr>
        <w:t>准入阶段重点分析建设项目选址方案的可行性，是否符合有关法律法规、政策要求及国土空间规划，是否允许占用有关自然资源要素、环境敏感区，是否符合建设用地使用标准等。</w:t>
      </w:r>
    </w:p>
    <w:p w14:paraId="01E61B2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方正仿宋_GBK" w:cs="Times New Roman"/>
          <w:kern w:val="2"/>
          <w:sz w:val="32"/>
          <w:szCs w:val="24"/>
          <w:u w:val="none"/>
        </w:rPr>
      </w:pPr>
      <w:r>
        <w:rPr>
          <w:rFonts w:hint="eastAsia" w:ascii="方正楷体_GBK" w:hAnsi="方正楷体_GBK" w:eastAsia="方正楷体_GBK" w:cs="方正楷体_GBK"/>
          <w:kern w:val="2"/>
          <w:sz w:val="32"/>
          <w:szCs w:val="24"/>
          <w:u w:val="none"/>
        </w:rPr>
        <w:t>（二）报批阶段。</w:t>
      </w:r>
      <w:r>
        <w:rPr>
          <w:rFonts w:hint="eastAsia" w:ascii="Times New Roman" w:hAnsi="Times New Roman" w:eastAsia="方正仿宋_GBK" w:cs="Times New Roman"/>
          <w:kern w:val="2"/>
          <w:sz w:val="32"/>
          <w:szCs w:val="24"/>
          <w:u w:val="none"/>
        </w:rPr>
        <w:t>将原需单独编制的生态保护红线不可避让论证、规划土地用途调整方案暨占用永久基本农田补划方案、地质灾害危险性评估等专题报告，合并编制《建设项目报批阶段综合论证报告》。</w:t>
      </w:r>
    </w:p>
    <w:p w14:paraId="6B08994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方正仿宋_GBK" w:cs="Times New Roman"/>
          <w:kern w:val="2"/>
          <w:sz w:val="32"/>
          <w:szCs w:val="24"/>
          <w:u w:val="none"/>
        </w:rPr>
      </w:pPr>
      <w:r>
        <w:rPr>
          <w:rFonts w:hint="eastAsia" w:ascii="Times New Roman" w:hAnsi="Times New Roman" w:eastAsia="方正仿宋_GBK" w:cs="Times New Roman"/>
          <w:kern w:val="2"/>
          <w:sz w:val="32"/>
          <w:szCs w:val="24"/>
          <w:u w:val="none"/>
        </w:rPr>
        <w:t>报批阶段重点分析建设项目选址方案是否发生重大调整，有关自然资源要素占用补划的可行性、生态环境敏感区域的不可避让性以及采取的应对措施等，并与用地用林联动审批做好工作衔接。</w:t>
      </w:r>
    </w:p>
    <w:p w14:paraId="7ABFA83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方正仿宋_GBK" w:cs="Times New Roman"/>
          <w:kern w:val="2"/>
          <w:sz w:val="32"/>
          <w:szCs w:val="24"/>
          <w:u w:val="none"/>
        </w:rPr>
      </w:pPr>
      <w:r>
        <w:rPr>
          <w:rFonts w:hint="eastAsia" w:ascii="方正楷体_GBK" w:hAnsi="方正楷体_GBK" w:eastAsia="方正楷体_GBK" w:cs="方正楷体_GBK"/>
          <w:kern w:val="2"/>
          <w:sz w:val="32"/>
          <w:szCs w:val="24"/>
          <w:u w:val="none"/>
        </w:rPr>
        <w:t>（三）后置专题。</w:t>
      </w:r>
      <w:r>
        <w:rPr>
          <w:rFonts w:hint="eastAsia" w:ascii="Times New Roman" w:hAnsi="Times New Roman" w:eastAsia="方正仿宋_GBK" w:cs="Times New Roman"/>
          <w:kern w:val="2"/>
          <w:sz w:val="32"/>
          <w:szCs w:val="24"/>
          <w:u w:val="none"/>
        </w:rPr>
        <w:t>各地可结合实际，将临时用地复垦方案、压覆重要矿产资源评估、按原地类管理的点状杆塔等占用永久基本农田论证等其他论证事项后置至项目开工前的供地阶段开展，也可按需纳入《建设项目报批阶段综合论证报告》。对仍需编制的临时使用林地恢复方案不作论证要求。</w:t>
      </w:r>
    </w:p>
    <w:p w14:paraId="20A76AA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方正黑体_GBK" w:hAnsi="方正黑体_GBK" w:eastAsia="方正黑体_GBK" w:cs="方正黑体_GBK"/>
          <w:kern w:val="2"/>
          <w:sz w:val="32"/>
          <w:szCs w:val="24"/>
          <w:u w:val="none"/>
        </w:rPr>
      </w:pPr>
      <w:r>
        <w:rPr>
          <w:rFonts w:hint="eastAsia" w:ascii="方正黑体_GBK" w:hAnsi="方正黑体_GBK" w:eastAsia="方正黑体_GBK" w:cs="方正黑体_GBK"/>
          <w:kern w:val="2"/>
          <w:sz w:val="32"/>
          <w:szCs w:val="24"/>
          <w:u w:val="none"/>
        </w:rPr>
        <w:t>三、论证要求</w:t>
      </w:r>
    </w:p>
    <w:p w14:paraId="427CB4C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方正仿宋_GBK" w:cs="Times New Roman"/>
          <w:kern w:val="2"/>
          <w:sz w:val="32"/>
          <w:szCs w:val="24"/>
          <w:u w:val="none"/>
        </w:rPr>
      </w:pPr>
      <w:r>
        <w:rPr>
          <w:rFonts w:hint="eastAsia" w:ascii="方正楷体_GBK" w:hAnsi="方正楷体_GBK" w:eastAsia="方正楷体_GBK" w:cs="方正楷体_GBK"/>
          <w:kern w:val="2"/>
          <w:sz w:val="32"/>
          <w:szCs w:val="24"/>
          <w:u w:val="none"/>
        </w:rPr>
        <w:t>（一）统一组织论证。</w:t>
      </w:r>
      <w:r>
        <w:rPr>
          <w:rFonts w:hint="eastAsia" w:ascii="Times New Roman" w:hAnsi="Times New Roman" w:eastAsia="方正仿宋_GBK" w:cs="Times New Roman"/>
          <w:kern w:val="2"/>
          <w:sz w:val="32"/>
          <w:szCs w:val="24"/>
          <w:u w:val="none"/>
        </w:rPr>
        <w:t>根据建设项目对应的审批事项层级和论证内容的复杂性，由原单独论证的最高层级自然资源或林业主管部门组织综合论证，并邀请有关行业主管部门参加。国家级项目由省自然资源厅或省林业局组织开展。需组织召开综合论证会议的建设项目，可视情设置分会场，也可通过函审、视频连线等多种方式进行论证，切实提升工作效率。</w:t>
      </w:r>
    </w:p>
    <w:p w14:paraId="6E782AB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方正仿宋_GBK" w:cs="Times New Roman"/>
          <w:kern w:val="2"/>
          <w:sz w:val="32"/>
          <w:szCs w:val="24"/>
          <w:u w:val="none"/>
        </w:rPr>
      </w:pPr>
      <w:r>
        <w:rPr>
          <w:rFonts w:hint="eastAsia" w:ascii="方正楷体_GBK" w:hAnsi="方正楷体_GBK" w:eastAsia="方正楷体_GBK" w:cs="方正楷体_GBK"/>
          <w:kern w:val="2"/>
          <w:sz w:val="32"/>
          <w:szCs w:val="24"/>
          <w:u w:val="none"/>
        </w:rPr>
        <w:t>（二）邀请专家参与。</w:t>
      </w:r>
      <w:r>
        <w:rPr>
          <w:rFonts w:hint="eastAsia" w:ascii="Times New Roman" w:hAnsi="Times New Roman" w:eastAsia="方正仿宋_GBK" w:cs="Times New Roman"/>
          <w:kern w:val="2"/>
          <w:sz w:val="32"/>
          <w:szCs w:val="24"/>
          <w:u w:val="none"/>
        </w:rPr>
        <w:t>综合论证会议召集部门按需邀请相关专家组成专家组参与论证，并综合考虑建设项目的规模、性质及技术复杂程度，合理确定专家组人数。</w:t>
      </w:r>
    </w:p>
    <w:p w14:paraId="4714AF0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方正仿宋_GBK" w:cs="Times New Roman"/>
          <w:kern w:val="2"/>
          <w:sz w:val="32"/>
          <w:szCs w:val="24"/>
          <w:u w:val="none"/>
        </w:rPr>
      </w:pPr>
      <w:r>
        <w:rPr>
          <w:rFonts w:hint="eastAsia" w:ascii="方正楷体_GBK" w:hAnsi="方正楷体_GBK" w:eastAsia="方正楷体_GBK" w:cs="方正楷体_GBK"/>
          <w:kern w:val="2"/>
          <w:sz w:val="32"/>
          <w:szCs w:val="24"/>
          <w:u w:val="none"/>
        </w:rPr>
        <w:t>（三）规范成果运用。</w:t>
      </w:r>
      <w:r>
        <w:rPr>
          <w:rFonts w:hint="eastAsia" w:ascii="Times New Roman" w:hAnsi="Times New Roman" w:eastAsia="方正仿宋_GBK" w:cs="Times New Roman"/>
          <w:kern w:val="2"/>
          <w:sz w:val="32"/>
          <w:szCs w:val="24"/>
          <w:u w:val="none"/>
        </w:rPr>
        <w:t>遵循原有各专题论证要求，统一出具综合论证意见，确需单独出具的可作为综合论证意见附件。相关结论作为向有权人民政府、自然资源主管部门、林业主管部门、自然公园管理机构、风景名胜区管理机构申请出具相关意见、办理相关审批手续的依据。</w:t>
      </w:r>
    </w:p>
    <w:p w14:paraId="1CD7116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方正仿宋_GBK" w:cs="Times New Roman"/>
          <w:kern w:val="2"/>
          <w:sz w:val="32"/>
          <w:szCs w:val="24"/>
          <w:u w:val="none"/>
        </w:rPr>
      </w:pPr>
      <w:r>
        <w:rPr>
          <w:rFonts w:hint="eastAsia" w:ascii="方正楷体_GBK" w:hAnsi="方正楷体_GBK" w:eastAsia="方正楷体_GBK" w:cs="方正楷体_GBK"/>
          <w:kern w:val="2"/>
          <w:sz w:val="32"/>
          <w:szCs w:val="24"/>
          <w:u w:val="none"/>
        </w:rPr>
        <w:t>（四）减少重复审查。</w:t>
      </w:r>
      <w:r>
        <w:rPr>
          <w:rFonts w:hint="eastAsia" w:ascii="Times New Roman" w:hAnsi="Times New Roman" w:eastAsia="方正仿宋_GBK" w:cs="Times New Roman"/>
          <w:kern w:val="2"/>
          <w:sz w:val="32"/>
          <w:szCs w:val="24"/>
          <w:u w:val="none"/>
        </w:rPr>
        <w:t>除生态保护红线、生态空间管控区域超出原有范围需重新论证外，项目报批用地超出用地预审范围的，应对占用自然资源要素变化情况的必要性、合理性作出说明，不再重复论证，由各级自然资源和林业主管部门严格审查把关。</w:t>
      </w:r>
    </w:p>
    <w:p w14:paraId="7AF1429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cs="Times New Roman"/>
          <w:kern w:val="2"/>
          <w:sz w:val="32"/>
          <w:szCs w:val="24"/>
          <w:u w:val="none"/>
        </w:rPr>
      </w:pPr>
      <w:r>
        <w:rPr>
          <w:rFonts w:hint="eastAsia" w:ascii="Times New Roman" w:hAnsi="Times New Roman" w:eastAsia="方正仿宋_GBK" w:cs="Times New Roman"/>
          <w:kern w:val="2"/>
          <w:sz w:val="32"/>
          <w:szCs w:val="24"/>
          <w:u w:val="none"/>
        </w:rPr>
        <w:t>各地可因地制宜细化工作程序，提升综合论证的科学性和时效性，避免因程序延误影响建设项目整体进度。对于技术相对复杂以及法律法规明确要求单独论证的，以“1个综合+X个专题”形式开展，采用综合论证报告与专题报告相结合的成果形式。对于不涉及的论证内容，在综合论证报告中不进行具体分析，保留相关章节并作简要说明。</w:t>
      </w:r>
    </w:p>
    <w:p w14:paraId="5985B1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embedRegular r:id="rId1" w:fontKey="{590C2FC2-7A3A-4E86-842A-146A3F4C2014}"/>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98F63A8-9D19-4929-BC89-8EC5BD530D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B3C368B-5058-4E19-8874-8626D8BD5BA5}"/>
  </w:font>
  <w:font w:name="方正仿宋_GBK">
    <w:altName w:val="微软雅黑"/>
    <w:panose1 w:val="03000509000000000000"/>
    <w:charset w:val="86"/>
    <w:family w:val="auto"/>
    <w:pitch w:val="default"/>
    <w:sig w:usb0="00000000" w:usb1="00000000" w:usb2="00000000" w:usb3="00000000" w:csb0="00040000" w:csb1="00000000"/>
    <w:embedRegular r:id="rId4" w:fontKey="{470672FB-4C83-447A-8085-A863B571EC64}"/>
  </w:font>
  <w:font w:name="方正小标宋_GBK">
    <w:panose1 w:val="02000000000000000000"/>
    <w:charset w:val="86"/>
    <w:family w:val="script"/>
    <w:pitch w:val="default"/>
    <w:sig w:usb0="A00002BF" w:usb1="38CF7CFA" w:usb2="00082016" w:usb3="00000000" w:csb0="00040001" w:csb1="00000000"/>
    <w:embedRegular r:id="rId5" w:fontKey="{8E76081F-C150-4D4C-957A-1FEA43FD5278}"/>
  </w:font>
  <w:font w:name="方正黑体_GBK">
    <w:altName w:val="微软雅黑"/>
    <w:panose1 w:val="03000509000000000000"/>
    <w:charset w:val="86"/>
    <w:family w:val="auto"/>
    <w:pitch w:val="default"/>
    <w:sig w:usb0="00000000" w:usb1="00000000" w:usb2="00000000" w:usb3="00000000" w:csb0="00040000" w:csb1="00000000"/>
    <w:embedRegular r:id="rId6" w:fontKey="{6DB39058-A710-4855-A397-750ED1A975D3}"/>
  </w:font>
  <w:font w:name="方正楷体_GBK">
    <w:altName w:val="微软雅黑"/>
    <w:panose1 w:val="03000509000000000000"/>
    <w:charset w:val="86"/>
    <w:family w:val="script"/>
    <w:pitch w:val="default"/>
    <w:sig w:usb0="00000000" w:usb1="00000000" w:usb2="00000000" w:usb3="00000000" w:csb0="00040000" w:csb1="00000000"/>
    <w:embedRegular r:id="rId7" w:fontKey="{5BF5F279-0165-4C8C-B8D2-C44F358015E2}"/>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embedSystem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810DF"/>
    <w:rsid w:val="77AD6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2026-07-06T01:30:42Z</dcterms:created>
  <dc:creator>Administrator</dc:creator>
  <cp:lastModifiedBy>～</cp:lastModifiedBy>
  <dcterms:modified xsi:type="dcterms:W3CDTF">2026-07-06T01:34:55Z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eyJoZGlkIjoiOWMxZjYxY2FiZThlZTY0MGQ0ZDY3MTg4YTkyMDUxOWIiLCJ1c2VySWQiOiI0MjIxNDAwNTIifQ==</vt:lpwstr>
  </property>
  <property fmtid="{D5CDD505-2E9C-101B-9397-08002B2CF9AE}" pid="4" name="ICV">
    <vt:lpwstr>8EF45C75BAB641E7A80B8F2DF34B2765_12</vt:lpwstr>
  </property>
</Properties>
</file>